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2B9C90EA" w:rsidR="007B18C5" w:rsidRPr="00062EE7" w:rsidRDefault="00C43E8E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43E8E">
        <w:rPr>
          <w:rFonts w:ascii="Times New Roman" w:hAnsi="Times New Roman"/>
          <w:sz w:val="20"/>
          <w:szCs w:val="20"/>
        </w:rPr>
        <w:t>Колосова Татьяна Николаевна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C43E8E">
        <w:rPr>
          <w:rFonts w:ascii="Times New Roman" w:hAnsi="Times New Roman"/>
          <w:sz w:val="20"/>
          <w:szCs w:val="20"/>
        </w:rPr>
        <w:t>Омской области от 04.06.2024 (р.ч.) по делу № А46-8099/2024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0635FD4" w:rsidR="00C068D9" w:rsidRPr="00062EE7" w:rsidRDefault="00C43E8E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3E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Колосова Татьяна Николаевна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4DF70AB0" w:rsidR="00CD0AF2" w:rsidRPr="00062EE7" w:rsidRDefault="00C43E8E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43E8E">
        <w:rPr>
          <w:rFonts w:ascii="Times New Roman" w:hAnsi="Times New Roman"/>
          <w:sz w:val="20"/>
          <w:szCs w:val="20"/>
        </w:rPr>
        <w:t>Колосова Татьяна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C43E8E">
        <w:rPr>
          <w:rFonts w:ascii="Times New Roman" w:hAnsi="Times New Roman"/>
          <w:sz w:val="20"/>
          <w:szCs w:val="20"/>
        </w:rPr>
        <w:t>Омской области от 04.06.2024 (р.ч.) по делу № А46-8099/2024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6419354B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C43E8E" w:rsidRPr="00C43E8E">
        <w:rPr>
          <w:rFonts w:ascii="Times New Roman" w:eastAsia="Times New Roman" w:hAnsi="Times New Roman"/>
          <w:sz w:val="20"/>
          <w:szCs w:val="20"/>
          <w:lang w:eastAsia="ru-RU"/>
        </w:rPr>
        <w:t>Омской области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C43E8E" w:rsidRPr="00C43E8E">
        <w:rPr>
          <w:rFonts w:ascii="Times New Roman" w:eastAsia="Times New Roman" w:hAnsi="Times New Roman"/>
          <w:sz w:val="20"/>
          <w:szCs w:val="20"/>
          <w:lang w:eastAsia="ru-RU"/>
        </w:rPr>
        <w:t>А46-8099/2024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3B1C975D" w:rsidR="00623578" w:rsidRPr="00062EE7" w:rsidRDefault="00C43E8E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3E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Колосова Татьяна Николаевна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15214"/>
    <w:rsid w:val="0023545D"/>
    <w:rsid w:val="002A49EA"/>
    <w:rsid w:val="002B1C0B"/>
    <w:rsid w:val="002E40E6"/>
    <w:rsid w:val="004122EE"/>
    <w:rsid w:val="0046686D"/>
    <w:rsid w:val="0049059C"/>
    <w:rsid w:val="004C5032"/>
    <w:rsid w:val="004D006B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43E8E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8</cp:revision>
  <dcterms:created xsi:type="dcterms:W3CDTF">2022-01-28T18:21:00Z</dcterms:created>
  <dcterms:modified xsi:type="dcterms:W3CDTF">2025-10-22T09:17:00Z</dcterms:modified>
</cp:coreProperties>
</file>